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7D6A7A">
      <w:pPr>
        <w:pStyle w:val="N01Y"/>
      </w:pPr>
      <w:bookmarkStart w:id="0" w:name="_GoBack"/>
      <w:bookmarkEnd w:id="0"/>
      <w:r>
        <w:t>213.</w:t>
      </w:r>
    </w:p>
    <w:p w:rsidR="00000000" w:rsidRDefault="007D6A7A">
      <w:pPr>
        <w:pStyle w:val="N02Y"/>
      </w:pPr>
      <w:r>
        <w:t xml:space="preserve">Na osnovu </w:t>
      </w:r>
      <w:r>
        <w:t>č</w:t>
      </w:r>
      <w:r>
        <w:t xml:space="preserve">lana 13 stav 6 Zakona o porezu na dobit pravnih lica </w:t>
      </w:r>
      <w:r>
        <w:t>("Službeni list RCG", broj 65/2001), ministar finansija donosi</w:t>
      </w:r>
    </w:p>
    <w:p w:rsidR="00000000" w:rsidRDefault="007D6A7A">
      <w:pPr>
        <w:pStyle w:val="N03Y"/>
      </w:pPr>
      <w:r>
        <w:t>PRAVILNIK</w:t>
      </w:r>
    </w:p>
    <w:p w:rsidR="00000000" w:rsidRDefault="007D6A7A">
      <w:pPr>
        <w:pStyle w:val="N03Y"/>
      </w:pPr>
      <w:r>
        <w:t>O RAZVRSTAVANJU OSNOVNIH SREDSTAVA PO GRUPAMA I METODAMA ZA UTVR</w:t>
      </w:r>
      <w:r>
        <w:t>Đ</w:t>
      </w:r>
      <w:r>
        <w:t>IVANJE AMORTIZACIJE</w:t>
      </w:r>
    </w:p>
    <w:p w:rsidR="00000000" w:rsidRDefault="007D6A7A">
      <w:pPr>
        <w:pStyle w:val="N05Y"/>
      </w:pPr>
      <w:r>
        <w:t>("Službeni list Republike Crne Gore", br. 028/02 od 13.06.2002)</w:t>
      </w:r>
    </w:p>
    <w:p w:rsidR="00000000" w:rsidRDefault="007D6A7A">
      <w:pPr>
        <w:pStyle w:val="N01X"/>
      </w:pPr>
      <w:r>
        <w:t>OSNOVNE ODREDBE</w:t>
      </w:r>
    </w:p>
    <w:p w:rsidR="00000000" w:rsidRDefault="007D6A7A">
      <w:pPr>
        <w:pStyle w:val="C30X"/>
      </w:pPr>
      <w:r>
        <w:t>Č</w:t>
      </w:r>
      <w:r>
        <w:t>lan 1</w:t>
      </w:r>
    </w:p>
    <w:p w:rsidR="00000000" w:rsidRDefault="007D6A7A">
      <w:pPr>
        <w:pStyle w:val="T30X"/>
      </w:pPr>
      <w:r>
        <w:t>Ovim pravilnikom ure</w:t>
      </w:r>
      <w:r>
        <w:t>đ</w:t>
      </w:r>
      <w:r>
        <w:t>uje se na</w:t>
      </w:r>
      <w:r>
        <w:t>č</w:t>
      </w:r>
      <w:r>
        <w:t>in razvrstavanja osnovnih sredstava po grupama i metode za utvr</w:t>
      </w:r>
      <w:r>
        <w:t>đ</w:t>
      </w:r>
      <w:r>
        <w:t>ivanje amortizacije osnovnih sredstava za poreske svrhe.</w:t>
      </w:r>
    </w:p>
    <w:p w:rsidR="00000000" w:rsidRDefault="007D6A7A">
      <w:pPr>
        <w:pStyle w:val="C30X"/>
      </w:pPr>
      <w:r>
        <w:t>Č</w:t>
      </w:r>
      <w:r>
        <w:t>lan 2</w:t>
      </w:r>
    </w:p>
    <w:p w:rsidR="00000000" w:rsidRDefault="007D6A7A">
      <w:pPr>
        <w:pStyle w:val="T30X"/>
      </w:pPr>
      <w:r>
        <w:t>Amortizaci</w:t>
      </w:r>
      <w:r>
        <w:t xml:space="preserve">ji podliježu osnovna sredstva koja obuhvataju materijalna i nematerijalna sredstva </w:t>
      </w:r>
      <w:r>
        <w:t>č</w:t>
      </w:r>
      <w:r>
        <w:t xml:space="preserve">iji je vijek trajanja duži od jedne godine i </w:t>
      </w:r>
      <w:r>
        <w:t>č</w:t>
      </w:r>
      <w:r>
        <w:t>ija vrijednost prelazi 200 EUR-a, osim zemljišta i umjetni</w:t>
      </w:r>
      <w:r>
        <w:t>č</w:t>
      </w:r>
      <w:r>
        <w:t>kih djela.</w:t>
      </w:r>
    </w:p>
    <w:p w:rsidR="00000000" w:rsidRDefault="007D6A7A">
      <w:pPr>
        <w:pStyle w:val="C30X"/>
      </w:pPr>
      <w:r>
        <w:t>Č</w:t>
      </w:r>
      <w:r>
        <w:t>lan 3</w:t>
      </w:r>
    </w:p>
    <w:p w:rsidR="00000000" w:rsidRDefault="007D6A7A">
      <w:pPr>
        <w:pStyle w:val="T30X"/>
      </w:pPr>
      <w:r>
        <w:t>Obra</w:t>
      </w:r>
      <w:r>
        <w:t>č</w:t>
      </w:r>
      <w:r>
        <w:t>un amortizacije osnovnih sredstava se vrši n</w:t>
      </w:r>
      <w:r>
        <w:t xml:space="preserve">a obrascu "OA" koji je odštampan uz ovaj pravilnik i </w:t>
      </w:r>
      <w:r>
        <w:t>č</w:t>
      </w:r>
      <w:r>
        <w:t>ini njegov sastavni dio.</w:t>
      </w:r>
    </w:p>
    <w:p w:rsidR="00000000" w:rsidRDefault="007D6A7A">
      <w:pPr>
        <w:pStyle w:val="N01X"/>
      </w:pPr>
      <w:r>
        <w:t>RAZVRSTAVANJE OSNOVNIH SREDSTAVA PO GRUPAMA I STOPAMA AMORTIZACIJE</w:t>
      </w:r>
    </w:p>
    <w:p w:rsidR="00000000" w:rsidRDefault="007D6A7A">
      <w:pPr>
        <w:pStyle w:val="C30X"/>
      </w:pPr>
      <w:r>
        <w:t>Č</w:t>
      </w:r>
      <w:r>
        <w:t>lan 4</w:t>
      </w:r>
    </w:p>
    <w:p w:rsidR="00000000" w:rsidRDefault="007D6A7A">
      <w:pPr>
        <w:pStyle w:val="T30X"/>
      </w:pPr>
      <w:r>
        <w:t>Osnovna sredstva koja podliježu amortizaciji razvrstavaju se po grupama i stopama amortizacije utvr</w:t>
      </w:r>
      <w:r>
        <w:t>đ</w:t>
      </w:r>
      <w:r>
        <w:t>eni</w:t>
      </w:r>
      <w:r>
        <w:t xml:space="preserve">m </w:t>
      </w:r>
      <w:r>
        <w:t>č</w:t>
      </w:r>
      <w:r>
        <w:t>lanom 13 stav 3 Zakona o porezu na dobit pravnih lica ("Službeni list RCG", broj 65/2001), i to:</w:t>
      </w:r>
    </w:p>
    <w:p w:rsidR="00000000" w:rsidRDefault="007D6A7A">
      <w:pPr>
        <w:pStyle w:val="TABELATE"/>
      </w:pPr>
      <w:r>
        <w:t>-----------------------------------------------------------------------------------</w:t>
      </w:r>
    </w:p>
    <w:p w:rsidR="00000000" w:rsidRDefault="007D6A7A">
      <w:pPr>
        <w:pStyle w:val="TABELATE"/>
      </w:pPr>
      <w:r>
        <w:t>Broj grupe      Šifra    Vrsta imovine                      Amortizacion</w:t>
      </w:r>
      <w:r>
        <w:t>a stopa u %</w:t>
      </w:r>
    </w:p>
    <w:p w:rsidR="00000000" w:rsidRDefault="007D6A7A">
      <w:pPr>
        <w:pStyle w:val="TABELATE"/>
      </w:pPr>
      <w:r>
        <w:t>-----------------------------------------------------------------------------------</w:t>
      </w:r>
    </w:p>
    <w:p w:rsidR="00000000" w:rsidRDefault="007D6A7A">
      <w:pPr>
        <w:pStyle w:val="TABELATE"/>
      </w:pPr>
      <w:r>
        <w:t>   1              2            3                                         4</w:t>
      </w:r>
    </w:p>
    <w:p w:rsidR="00000000" w:rsidRDefault="007D6A7A">
      <w:pPr>
        <w:pStyle w:val="TABELATE"/>
      </w:pPr>
      <w:r>
        <w:t>-----------------------------------------------------------------------------------</w:t>
      </w:r>
    </w:p>
    <w:p w:rsidR="00000000" w:rsidRDefault="007D6A7A">
      <w:pPr>
        <w:pStyle w:val="TABELATE"/>
      </w:pPr>
      <w:r>
        <w:t> </w:t>
      </w:r>
      <w:r>
        <w:t>               01       1. Asfaltne površine</w:t>
      </w:r>
    </w:p>
    <w:p w:rsidR="00000000" w:rsidRDefault="007D6A7A">
      <w:pPr>
        <w:pStyle w:val="TABELATE"/>
      </w:pPr>
      <w:r>
        <w:t>                01       2. Avionske piste</w:t>
      </w:r>
    </w:p>
    <w:p w:rsidR="00000000" w:rsidRDefault="007D6A7A">
      <w:pPr>
        <w:pStyle w:val="TABELATE"/>
      </w:pPr>
      <w:r>
        <w:t>   I            01       3. Brane za akumulaciju voda                    5</w:t>
      </w:r>
    </w:p>
    <w:p w:rsidR="00000000" w:rsidRDefault="007D6A7A">
      <w:pPr>
        <w:pStyle w:val="TABELATE"/>
      </w:pPr>
      <w:r>
        <w:t>                01       4. Cijevi za gasovod</w:t>
      </w:r>
    </w:p>
    <w:p w:rsidR="00000000" w:rsidRDefault="007D6A7A">
      <w:pPr>
        <w:pStyle w:val="TABELATE"/>
      </w:pPr>
      <w:r>
        <w:t>                01       5. Dokovi za vezivanje</w:t>
      </w:r>
      <w:r>
        <w:t> brodova</w:t>
      </w:r>
    </w:p>
    <w:p w:rsidR="00000000" w:rsidRDefault="007D6A7A">
      <w:pPr>
        <w:pStyle w:val="TABELATE"/>
      </w:pPr>
      <w:r>
        <w:t>                01       6. Parkovi</w:t>
      </w:r>
    </w:p>
    <w:p w:rsidR="00000000" w:rsidRDefault="007D6A7A">
      <w:pPr>
        <w:pStyle w:val="TABELATE"/>
      </w:pPr>
      <w:r>
        <w:t>                01       7. Elektrane</w:t>
      </w:r>
    </w:p>
    <w:p w:rsidR="00000000" w:rsidRDefault="007D6A7A">
      <w:pPr>
        <w:pStyle w:val="TABELATE"/>
      </w:pPr>
      <w:r>
        <w:t>                01       8. Elektri</w:t>
      </w:r>
      <w:r>
        <w:t>č</w:t>
      </w:r>
      <w:r>
        <w:t>ni dalekovodi</w:t>
      </w:r>
    </w:p>
    <w:p w:rsidR="00000000" w:rsidRDefault="007D6A7A">
      <w:pPr>
        <w:pStyle w:val="TABELATE"/>
      </w:pPr>
      <w:r>
        <w:t>                01       9. Eskalatori-pokretne stepenice</w:t>
      </w:r>
    </w:p>
    <w:p w:rsidR="00000000" w:rsidRDefault="007D6A7A">
      <w:pPr>
        <w:pStyle w:val="TABELATE"/>
      </w:pPr>
      <w:r>
        <w:t>                01       10. Hangari</w:t>
      </w:r>
    </w:p>
    <w:p w:rsidR="00000000" w:rsidRDefault="007D6A7A">
      <w:pPr>
        <w:pStyle w:val="TABELATE"/>
      </w:pPr>
      <w:r>
        <w:t>                01       11. Lukobrani</w:t>
      </w:r>
    </w:p>
    <w:p w:rsidR="00000000" w:rsidRDefault="007D6A7A">
      <w:pPr>
        <w:pStyle w:val="TABELATE"/>
      </w:pPr>
      <w:r>
        <w:t>                01       12. Marine</w:t>
      </w:r>
    </w:p>
    <w:p w:rsidR="00000000" w:rsidRDefault="007D6A7A">
      <w:pPr>
        <w:pStyle w:val="TABELATE"/>
      </w:pPr>
      <w:r>
        <w:t>                01       13. Mostovi</w:t>
      </w:r>
    </w:p>
    <w:p w:rsidR="00000000" w:rsidRDefault="007D6A7A">
      <w:pPr>
        <w:pStyle w:val="TABELATE"/>
      </w:pPr>
      <w:r>
        <w:t>                01       14. Nadvožnjaci i vijadukti</w:t>
      </w:r>
    </w:p>
    <w:p w:rsidR="00000000" w:rsidRDefault="007D6A7A">
      <w:pPr>
        <w:pStyle w:val="TABELATE"/>
      </w:pPr>
      <w:r>
        <w:t>                01       15. Naftovodi</w:t>
      </w:r>
    </w:p>
    <w:p w:rsidR="00000000" w:rsidRDefault="007D6A7A">
      <w:pPr>
        <w:pStyle w:val="TABELATE"/>
      </w:pPr>
      <w:r>
        <w:t>                01       16. Odvodni i dovodni kanal</w:t>
      </w:r>
      <w:r>
        <w:t>i</w:t>
      </w:r>
    </w:p>
    <w:p w:rsidR="00000000" w:rsidRDefault="007D6A7A">
      <w:pPr>
        <w:pStyle w:val="TABELATE"/>
      </w:pPr>
      <w:r>
        <w:t>                01       17. Oprema za informati</w:t>
      </w:r>
      <w:r>
        <w:t>č</w:t>
      </w:r>
      <w:r>
        <w:t>ku infrastrukturu</w:t>
      </w:r>
    </w:p>
    <w:p w:rsidR="00000000" w:rsidRDefault="007D6A7A">
      <w:pPr>
        <w:pStyle w:val="TABELATE"/>
      </w:pPr>
      <w:r>
        <w:t>                             Yupak, Internet)</w:t>
      </w:r>
    </w:p>
    <w:p w:rsidR="00000000" w:rsidRDefault="007D6A7A">
      <w:pPr>
        <w:pStyle w:val="TABELATE"/>
      </w:pPr>
      <w:r>
        <w:t>                01       18. Oprema za proizvodnju i distribuciju</w:t>
      </w:r>
    </w:p>
    <w:p w:rsidR="00000000" w:rsidRDefault="007D6A7A">
      <w:pPr>
        <w:pStyle w:val="TABELATE"/>
      </w:pPr>
      <w:r>
        <w:t>                             elektri</w:t>
      </w:r>
      <w:r>
        <w:t>č</w:t>
      </w:r>
      <w:r>
        <w:t>ne energije, gasa,</w:t>
      </w:r>
    </w:p>
    <w:p w:rsidR="00000000" w:rsidRDefault="007D6A7A">
      <w:pPr>
        <w:pStyle w:val="TABELATE"/>
      </w:pPr>
      <w:r>
        <w:t>                   </w:t>
      </w:r>
      <w:r>
        <w:t>          toplote i vode</w:t>
      </w:r>
    </w:p>
    <w:p w:rsidR="00000000" w:rsidRDefault="007D6A7A">
      <w:pPr>
        <w:pStyle w:val="TABELATE"/>
      </w:pPr>
      <w:r>
        <w:t>                01       19. Parking površine</w:t>
      </w:r>
    </w:p>
    <w:p w:rsidR="00000000" w:rsidRDefault="007D6A7A">
      <w:pPr>
        <w:pStyle w:val="TABELATE"/>
      </w:pPr>
      <w:r>
        <w:t>                01       20. Prirodna nalazišta vode i banje</w:t>
      </w:r>
    </w:p>
    <w:p w:rsidR="00000000" w:rsidRDefault="007D6A7A">
      <w:pPr>
        <w:pStyle w:val="TABELATE"/>
      </w:pPr>
      <w:r>
        <w:t>                01       21. Putevi i auto-putevi</w:t>
      </w:r>
    </w:p>
    <w:p w:rsidR="00000000" w:rsidRDefault="007D6A7A">
      <w:pPr>
        <w:pStyle w:val="TABELATE"/>
      </w:pPr>
      <w:r>
        <w:lastRenderedPageBreak/>
        <w:t>                01       22. Ribnjaci</w:t>
      </w:r>
    </w:p>
    <w:p w:rsidR="00000000" w:rsidRDefault="007D6A7A">
      <w:pPr>
        <w:pStyle w:val="TABELATE"/>
      </w:pPr>
      <w:r>
        <w:t>                01       23. Skladiš</w:t>
      </w:r>
      <w:r>
        <w:t>ta i rezervoari</w:t>
      </w:r>
    </w:p>
    <w:p w:rsidR="00000000" w:rsidRDefault="007D6A7A">
      <w:pPr>
        <w:pStyle w:val="TABELATE"/>
      </w:pPr>
      <w:r>
        <w:t>                01       24. Solane</w:t>
      </w:r>
    </w:p>
    <w:p w:rsidR="00000000" w:rsidRDefault="007D6A7A">
      <w:pPr>
        <w:pStyle w:val="TABELATE"/>
      </w:pPr>
      <w:r>
        <w:t>                01       25. Sportski objekti (stadioni, bazeni,</w:t>
      </w:r>
    </w:p>
    <w:p w:rsidR="00000000" w:rsidRDefault="007D6A7A">
      <w:pPr>
        <w:pStyle w:val="TABELATE"/>
      </w:pPr>
      <w:r>
        <w:t>                             sportske hale)</w:t>
      </w:r>
    </w:p>
    <w:p w:rsidR="00000000" w:rsidRDefault="007D6A7A">
      <w:pPr>
        <w:pStyle w:val="TABELATE"/>
      </w:pPr>
      <w:r>
        <w:t>                01       26. Silosi na poljoprivrednim dobrima</w:t>
      </w:r>
    </w:p>
    <w:p w:rsidR="00000000" w:rsidRDefault="007D6A7A">
      <w:pPr>
        <w:pStyle w:val="TABELATE"/>
      </w:pPr>
      <w:r>
        <w:t>                01       27. Tun</w:t>
      </w:r>
      <w:r>
        <w:t>eli</w:t>
      </w:r>
    </w:p>
    <w:p w:rsidR="00000000" w:rsidRDefault="007D6A7A">
      <w:pPr>
        <w:pStyle w:val="TABELATE"/>
      </w:pPr>
      <w:r>
        <w:t>                01       28. Vodovodi i cjevovodi</w:t>
      </w:r>
    </w:p>
    <w:p w:rsidR="00000000" w:rsidRDefault="007D6A7A">
      <w:pPr>
        <w:pStyle w:val="TABELATE"/>
      </w:pPr>
      <w:r>
        <w:t>                01       29. Željezni</w:t>
      </w:r>
      <w:r>
        <w:t>č</w:t>
      </w:r>
      <w:r>
        <w:t>ka infrastruktura</w:t>
      </w:r>
    </w:p>
    <w:p w:rsidR="00000000" w:rsidRDefault="007D6A7A">
      <w:pPr>
        <w:pStyle w:val="TABELATE"/>
      </w:pPr>
      <w:r>
        <w:t>                01       30. Zgrade</w:t>
      </w:r>
    </w:p>
    <w:p w:rsidR="00000000" w:rsidRDefault="007D6A7A">
      <w:pPr>
        <w:pStyle w:val="TABELATE"/>
      </w:pPr>
      <w:r>
        <w:t>                02       1. Avioni</w:t>
      </w:r>
    </w:p>
    <w:p w:rsidR="00000000" w:rsidRDefault="007D6A7A">
      <w:pPr>
        <w:pStyle w:val="TABELATE"/>
      </w:pPr>
      <w:r>
        <w:t>                02       2. Automobili</w:t>
      </w:r>
    </w:p>
    <w:p w:rsidR="00000000" w:rsidRDefault="007D6A7A">
      <w:pPr>
        <w:pStyle w:val="TABELATE"/>
      </w:pPr>
      <w:r>
        <w:t>   II           02       3. Brodovi </w:t>
      </w:r>
      <w:r>
        <w:t>i ostali plovni objekti              15</w:t>
      </w:r>
    </w:p>
    <w:p w:rsidR="00000000" w:rsidRDefault="007D6A7A">
      <w:pPr>
        <w:pStyle w:val="TABELATE"/>
      </w:pPr>
      <w:r>
        <w:t>                02       4. Elektrane manje od 15 megavata</w:t>
      </w:r>
    </w:p>
    <w:p w:rsidR="00000000" w:rsidRDefault="007D6A7A">
      <w:pPr>
        <w:pStyle w:val="TABELATE"/>
      </w:pPr>
      <w:r>
        <w:t>                02       5. Klima ure</w:t>
      </w:r>
      <w:r>
        <w:t>đ</w:t>
      </w:r>
      <w:r>
        <w:t>aji</w:t>
      </w:r>
    </w:p>
    <w:p w:rsidR="00000000" w:rsidRDefault="007D6A7A">
      <w:pPr>
        <w:pStyle w:val="TABELATE"/>
      </w:pPr>
      <w:r>
        <w:t>                02       6. Liftovi</w:t>
      </w:r>
    </w:p>
    <w:p w:rsidR="00000000" w:rsidRDefault="007D6A7A">
      <w:pPr>
        <w:pStyle w:val="TABELATE"/>
      </w:pPr>
      <w:r>
        <w:t>                02       7. Bojleri</w:t>
      </w:r>
    </w:p>
    <w:p w:rsidR="00000000" w:rsidRDefault="007D6A7A">
      <w:pPr>
        <w:pStyle w:val="TABELATE"/>
      </w:pPr>
      <w:r>
        <w:t>                02       8. Namještaj u brodovima</w:t>
      </w:r>
    </w:p>
    <w:p w:rsidR="00000000" w:rsidRDefault="007D6A7A">
      <w:pPr>
        <w:pStyle w:val="TABELATE"/>
      </w:pPr>
      <w:r>
        <w:t>                02       9. Medicinska oprema</w:t>
      </w:r>
    </w:p>
    <w:p w:rsidR="00000000" w:rsidRDefault="007D6A7A">
      <w:pPr>
        <w:pStyle w:val="TABELATE"/>
      </w:pPr>
      <w:r>
        <w:t>                02       10. Ograde</w:t>
      </w:r>
    </w:p>
    <w:p w:rsidR="00000000" w:rsidRDefault="007D6A7A">
      <w:pPr>
        <w:pStyle w:val="TABELATE"/>
      </w:pPr>
      <w:r>
        <w:t>                02       11. Oprema za kancelariju</w:t>
      </w:r>
    </w:p>
    <w:p w:rsidR="00000000" w:rsidRDefault="007D6A7A">
      <w:pPr>
        <w:pStyle w:val="TABELATE"/>
      </w:pPr>
      <w:r>
        <w:t>                02       12. Oprema za proizvodnju i distribuciju</w:t>
      </w:r>
    </w:p>
    <w:p w:rsidR="00000000" w:rsidRDefault="007D6A7A">
      <w:pPr>
        <w:pStyle w:val="TABELATE"/>
      </w:pPr>
      <w:r>
        <w:t>       </w:t>
      </w:r>
      <w:r>
        <w:t>                      solarne energije</w:t>
      </w:r>
    </w:p>
    <w:p w:rsidR="00000000" w:rsidRDefault="007D6A7A">
      <w:pPr>
        <w:pStyle w:val="TABELATE"/>
      </w:pPr>
      <w:r>
        <w:t>                02       13. Tankovi za </w:t>
      </w:r>
      <w:r>
        <w:t>č</w:t>
      </w:r>
      <w:r>
        <w:t>uvanje nafte</w:t>
      </w:r>
    </w:p>
    <w:p w:rsidR="00000000" w:rsidRDefault="007D6A7A">
      <w:pPr>
        <w:pStyle w:val="TABELATE"/>
      </w:pPr>
      <w:r>
        <w:t>                02       14. Tankovi za </w:t>
      </w:r>
      <w:r>
        <w:t>č</w:t>
      </w:r>
      <w:r>
        <w:t>uvanje vode</w:t>
      </w:r>
    </w:p>
    <w:p w:rsidR="00000000" w:rsidRDefault="007D6A7A">
      <w:pPr>
        <w:pStyle w:val="TABELATE"/>
      </w:pPr>
      <w:r>
        <w:t>                02       15. Vagoni</w:t>
      </w:r>
    </w:p>
    <w:p w:rsidR="00000000" w:rsidRDefault="007D6A7A">
      <w:pPr>
        <w:pStyle w:val="TABELATE"/>
      </w:pPr>
      <w:r>
        <w:t>                02       16. Vinogradi</w:t>
      </w:r>
    </w:p>
    <w:p w:rsidR="00000000" w:rsidRDefault="007D6A7A">
      <w:pPr>
        <w:pStyle w:val="TABELATE"/>
      </w:pPr>
      <w:r>
        <w:t>                02       17. Vo</w:t>
      </w:r>
      <w:r>
        <w:t>ć</w:t>
      </w:r>
      <w:r>
        <w:t>nja</w:t>
      </w:r>
      <w:r>
        <w:t>ci</w:t>
      </w:r>
    </w:p>
    <w:p w:rsidR="00000000" w:rsidRDefault="007D6A7A">
      <w:pPr>
        <w:pStyle w:val="TABELATE"/>
      </w:pPr>
      <w:r>
        <w:t>                03       1. Alati i inventar</w:t>
      </w:r>
    </w:p>
    <w:p w:rsidR="00000000" w:rsidRDefault="007D6A7A">
      <w:pPr>
        <w:pStyle w:val="TABELATE"/>
      </w:pPr>
      <w:r>
        <w:t>                03       2. Autobusi</w:t>
      </w:r>
    </w:p>
    <w:p w:rsidR="00000000" w:rsidRDefault="007D6A7A">
      <w:pPr>
        <w:pStyle w:val="TABELATE"/>
      </w:pPr>
      <w:r>
        <w:t>                03       3. Oprema za termo-elektrane                    20</w:t>
      </w:r>
    </w:p>
    <w:p w:rsidR="00000000" w:rsidRDefault="007D6A7A">
      <w:pPr>
        <w:pStyle w:val="TABELATE"/>
      </w:pPr>
      <w:r>
        <w:t>   III          03       4. Oprema za proizvodnju mlijeka</w:t>
      </w:r>
    </w:p>
    <w:p w:rsidR="00000000" w:rsidRDefault="007D6A7A">
      <w:pPr>
        <w:pStyle w:val="TABELATE"/>
      </w:pPr>
      <w:r>
        <w:t>                            i mlije</w:t>
      </w:r>
      <w:r>
        <w:t>č</w:t>
      </w:r>
      <w:r>
        <w:t>n</w:t>
      </w:r>
      <w:r>
        <w:t>ih proizvoda</w:t>
      </w:r>
    </w:p>
    <w:p w:rsidR="00000000" w:rsidRDefault="007D6A7A">
      <w:pPr>
        <w:pStyle w:val="TABELATE"/>
      </w:pPr>
      <w:r>
        <w:t>                03       5. Fiskalne kase za pra</w:t>
      </w:r>
      <w:r>
        <w:t>ć</w:t>
      </w:r>
      <w:r>
        <w:t>enje poreza</w:t>
      </w:r>
    </w:p>
    <w:p w:rsidR="00000000" w:rsidRDefault="007D6A7A">
      <w:pPr>
        <w:pStyle w:val="TABELATE"/>
      </w:pPr>
      <w:r>
        <w:t>                03       6. Fliperi</w:t>
      </w:r>
    </w:p>
    <w:p w:rsidR="00000000" w:rsidRDefault="007D6A7A">
      <w:pPr>
        <w:pStyle w:val="TABELATE"/>
      </w:pPr>
      <w:r>
        <w:t>                03       7. Hladnja</w:t>
      </w:r>
      <w:r>
        <w:t>č</w:t>
      </w:r>
      <w:r>
        <w:t>e za povr</w:t>
      </w:r>
      <w:r>
        <w:t>ć</w:t>
      </w:r>
      <w:r>
        <w:t>e</w:t>
      </w:r>
    </w:p>
    <w:p w:rsidR="00000000" w:rsidRDefault="007D6A7A">
      <w:pPr>
        <w:pStyle w:val="TABELATE"/>
      </w:pPr>
      <w:r>
        <w:t>                03       8. Kalkulatori</w:t>
      </w:r>
    </w:p>
    <w:p w:rsidR="00000000" w:rsidRDefault="007D6A7A">
      <w:pPr>
        <w:pStyle w:val="TABELATE"/>
      </w:pPr>
      <w:r>
        <w:t>                03       9. Kamioni i prikolice</w:t>
      </w:r>
    </w:p>
    <w:p w:rsidR="00000000" w:rsidRDefault="007D6A7A">
      <w:pPr>
        <w:pStyle w:val="TABELATE"/>
      </w:pPr>
      <w:r>
        <w:t>          </w:t>
      </w:r>
      <w:r>
        <w:t>      03       10. Laboratorijska oprema</w:t>
      </w:r>
    </w:p>
    <w:p w:rsidR="00000000" w:rsidRDefault="007D6A7A">
      <w:pPr>
        <w:pStyle w:val="TABELATE"/>
      </w:pPr>
      <w:r>
        <w:t>                03       11. Mašine za </w:t>
      </w:r>
      <w:r>
        <w:t>č</w:t>
      </w:r>
      <w:r>
        <w:t>iš</w:t>
      </w:r>
      <w:r>
        <w:t>ć</w:t>
      </w:r>
      <w:r>
        <w:t>enje žitarica</w:t>
      </w:r>
    </w:p>
    <w:p w:rsidR="00000000" w:rsidRDefault="007D6A7A">
      <w:pPr>
        <w:pStyle w:val="TABELATE"/>
      </w:pPr>
      <w:r>
        <w:t>                03       12. Oprema za fotokopiranje</w:t>
      </w:r>
    </w:p>
    <w:p w:rsidR="00000000" w:rsidRDefault="007D6A7A">
      <w:pPr>
        <w:pStyle w:val="TABELATE"/>
      </w:pPr>
      <w:r>
        <w:t>                03       13. Namještaj koji nije pomenut</w:t>
      </w:r>
    </w:p>
    <w:p w:rsidR="00000000" w:rsidRDefault="007D6A7A">
      <w:pPr>
        <w:pStyle w:val="TABELATE"/>
      </w:pPr>
      <w:r>
        <w:t>                             na drugim mjestima</w:t>
      </w:r>
    </w:p>
    <w:p w:rsidR="00000000" w:rsidRDefault="007D6A7A">
      <w:pPr>
        <w:pStyle w:val="TABELATE"/>
      </w:pPr>
      <w:r>
        <w:t>                03       14. Oprema za istraživanje</w:t>
      </w:r>
    </w:p>
    <w:p w:rsidR="00000000" w:rsidRDefault="007D6A7A">
      <w:pPr>
        <w:pStyle w:val="TABELATE"/>
      </w:pPr>
      <w:r>
        <w:t>                03       15. Postrojenja za pravljenje betona</w:t>
      </w:r>
    </w:p>
    <w:p w:rsidR="00000000" w:rsidRDefault="007D6A7A">
      <w:pPr>
        <w:pStyle w:val="TABELATE"/>
      </w:pPr>
      <w:r>
        <w:t>                03       16. Pokretna oprema za proizvodnju</w:t>
      </w:r>
    </w:p>
    <w:p w:rsidR="00000000" w:rsidRDefault="007D6A7A">
      <w:pPr>
        <w:pStyle w:val="TABELATE"/>
      </w:pPr>
      <w:r>
        <w:t>                             elektri</w:t>
      </w:r>
      <w:r>
        <w:t>č</w:t>
      </w:r>
      <w:r>
        <w:t>ne energije (agregati i sl.)</w:t>
      </w:r>
    </w:p>
    <w:p w:rsidR="00000000" w:rsidRDefault="007D6A7A">
      <w:pPr>
        <w:pStyle w:val="TABELATE"/>
      </w:pPr>
      <w:r>
        <w:t>                03       17. Radari</w:t>
      </w:r>
    </w:p>
    <w:p w:rsidR="00000000" w:rsidRDefault="007D6A7A">
      <w:pPr>
        <w:pStyle w:val="TABELATE"/>
      </w:pPr>
      <w:r>
        <w:t>                03       18. Televizijske antene</w:t>
      </w:r>
    </w:p>
    <w:p w:rsidR="00000000" w:rsidRDefault="007D6A7A">
      <w:pPr>
        <w:pStyle w:val="TABELATE"/>
      </w:pPr>
      <w:r>
        <w:t>                03       19. Sva ostala osnovna sredstva koja nijesu</w:t>
      </w:r>
    </w:p>
    <w:p w:rsidR="00000000" w:rsidRDefault="007D6A7A">
      <w:pPr>
        <w:pStyle w:val="TABELATE"/>
      </w:pPr>
      <w:r>
        <w:t>                             posebno nazna</w:t>
      </w:r>
      <w:r>
        <w:t>č</w:t>
      </w:r>
      <w:r>
        <w:t>ena u drugim grupama</w:t>
      </w:r>
    </w:p>
    <w:p w:rsidR="00000000" w:rsidRDefault="007D6A7A">
      <w:pPr>
        <w:pStyle w:val="TABELATE"/>
      </w:pPr>
      <w:r>
        <w:t>         </w:t>
      </w:r>
      <w:r>
        <w:t>       04       1. Namještaj u avionima</w:t>
      </w:r>
    </w:p>
    <w:p w:rsidR="00000000" w:rsidRDefault="007D6A7A">
      <w:pPr>
        <w:pStyle w:val="TABELATE"/>
      </w:pPr>
      <w:r>
        <w:t>                04       2. Oprema za kontrolu zaga</w:t>
      </w:r>
      <w:r>
        <w:t>đ</w:t>
      </w:r>
      <w:r>
        <w:t>enja</w:t>
      </w:r>
    </w:p>
    <w:p w:rsidR="00000000" w:rsidRDefault="007D6A7A">
      <w:pPr>
        <w:pStyle w:val="TABELATE"/>
      </w:pPr>
      <w:r>
        <w:t>   IV                       vazduha i vode -nelicencirana                25</w:t>
      </w:r>
    </w:p>
    <w:p w:rsidR="00000000" w:rsidRDefault="007D6A7A">
      <w:pPr>
        <w:pStyle w:val="TABELATE"/>
      </w:pPr>
      <w:r>
        <w:t>                04       3. Oprema za emitovanje radio i tv programa</w:t>
      </w:r>
    </w:p>
    <w:p w:rsidR="00000000" w:rsidRDefault="007D6A7A">
      <w:pPr>
        <w:pStyle w:val="TABELATE"/>
      </w:pPr>
      <w:r>
        <w:t>              </w:t>
      </w:r>
      <w:r>
        <w:t>  04       4. Oprema za naftne bušotine</w:t>
      </w:r>
    </w:p>
    <w:p w:rsidR="00000000" w:rsidRDefault="007D6A7A">
      <w:pPr>
        <w:pStyle w:val="TABELATE"/>
      </w:pPr>
      <w:r>
        <w:t>                04       5. Oprema za obradu rude</w:t>
      </w:r>
    </w:p>
    <w:p w:rsidR="00000000" w:rsidRDefault="007D6A7A">
      <w:pPr>
        <w:pStyle w:val="TABELATE"/>
      </w:pPr>
      <w:r>
        <w:t>                04       6. Rezervni djelovi za avione</w:t>
      </w:r>
    </w:p>
    <w:p w:rsidR="00000000" w:rsidRDefault="007D6A7A">
      <w:pPr>
        <w:pStyle w:val="TABELATE"/>
      </w:pPr>
      <w:r>
        <w:t>                04       7. Telegrafska i telefonska oprema</w:t>
      </w:r>
    </w:p>
    <w:p w:rsidR="00000000" w:rsidRDefault="007D6A7A">
      <w:pPr>
        <w:pStyle w:val="TABELATE"/>
      </w:pPr>
      <w:r>
        <w:t>                            (žice i razni kablovi)</w:t>
      </w:r>
    </w:p>
    <w:p w:rsidR="00000000" w:rsidRDefault="007D6A7A">
      <w:pPr>
        <w:pStyle w:val="TABELATE"/>
      </w:pPr>
      <w:r>
        <w:t>                05       1. Automobili za iznajmljivanje ili lizing</w:t>
      </w:r>
    </w:p>
    <w:p w:rsidR="00000000" w:rsidRDefault="007D6A7A">
      <w:pPr>
        <w:pStyle w:val="TABELATE"/>
      </w:pPr>
      <w:r>
        <w:t>                            i taksi vozila</w:t>
      </w:r>
    </w:p>
    <w:p w:rsidR="00000000" w:rsidRDefault="007D6A7A">
      <w:pPr>
        <w:pStyle w:val="TABELATE"/>
      </w:pPr>
      <w:r>
        <w:lastRenderedPageBreak/>
        <w:t>   V            05       2. Bilbordovi                                   30</w:t>
      </w:r>
    </w:p>
    <w:p w:rsidR="00000000" w:rsidRDefault="007D6A7A">
      <w:pPr>
        <w:pStyle w:val="TABELATE"/>
      </w:pPr>
      <w:r>
        <w:t>                05       3. Branici za puteve i pruge</w:t>
      </w:r>
    </w:p>
    <w:p w:rsidR="00000000" w:rsidRDefault="007D6A7A">
      <w:pPr>
        <w:pStyle w:val="TABELATE"/>
      </w:pPr>
      <w:r>
        <w:t>               </w:t>
      </w:r>
      <w:r>
        <w:t> 05       4. Elektri</w:t>
      </w:r>
      <w:r>
        <w:t>č</w:t>
      </w:r>
      <w:r>
        <w:t>ne reklame</w:t>
      </w:r>
    </w:p>
    <w:p w:rsidR="00000000" w:rsidRDefault="007D6A7A">
      <w:pPr>
        <w:pStyle w:val="TABELATE"/>
      </w:pPr>
      <w:r>
        <w:t>                05       5. Elektronska oprema za procesiranje podataka</w:t>
      </w:r>
    </w:p>
    <w:p w:rsidR="00000000" w:rsidRDefault="007D6A7A">
      <w:pPr>
        <w:pStyle w:val="TABELATE"/>
      </w:pPr>
      <w:r>
        <w:t>                            (kompjuteri) i sistemski i</w:t>
      </w:r>
    </w:p>
    <w:p w:rsidR="00000000" w:rsidRDefault="007D6A7A">
      <w:pPr>
        <w:pStyle w:val="TABELATE"/>
      </w:pPr>
      <w:r>
        <w:t>                            aplikacioni softveri</w:t>
      </w:r>
    </w:p>
    <w:p w:rsidR="00000000" w:rsidRDefault="007D6A7A">
      <w:pPr>
        <w:pStyle w:val="TABELATE"/>
      </w:pPr>
      <w:r>
        <w:t>                05       6. Filmovi</w:t>
      </w:r>
    </w:p>
    <w:p w:rsidR="00000000" w:rsidRDefault="007D6A7A">
      <w:pPr>
        <w:pStyle w:val="TABELATE"/>
      </w:pPr>
      <w:r>
        <w:t>            </w:t>
      </w:r>
      <w:r>
        <w:t>    05       7. Televizijske reklame i spotovi</w:t>
      </w:r>
    </w:p>
    <w:p w:rsidR="00000000" w:rsidRDefault="007D6A7A">
      <w:pPr>
        <w:pStyle w:val="TABELATE"/>
      </w:pPr>
      <w:r>
        <w:t>                05       8. Gra</w:t>
      </w:r>
      <w:r>
        <w:t>đ</w:t>
      </w:r>
      <w:r>
        <w:t>evinska pokretna oprema</w:t>
      </w:r>
    </w:p>
    <w:p w:rsidR="00000000" w:rsidRDefault="007D6A7A">
      <w:pPr>
        <w:pStyle w:val="TABELATE"/>
      </w:pPr>
      <w:r>
        <w:t>                05       9. Kalupi za livenje</w:t>
      </w:r>
    </w:p>
    <w:p w:rsidR="00000000" w:rsidRDefault="007D6A7A">
      <w:pPr>
        <w:pStyle w:val="TABELATE"/>
      </w:pPr>
      <w:r>
        <w:t>                05       10. Knjige u biblioteci koje se iznajmljuju</w:t>
      </w:r>
    </w:p>
    <w:p w:rsidR="00000000" w:rsidRDefault="007D6A7A">
      <w:pPr>
        <w:pStyle w:val="TABELATE"/>
      </w:pPr>
      <w:r>
        <w:t>                05       11. Industrijski noževi</w:t>
      </w:r>
    </w:p>
    <w:p w:rsidR="00000000" w:rsidRDefault="007D6A7A">
      <w:pPr>
        <w:pStyle w:val="TABELATE"/>
      </w:pPr>
      <w:r>
        <w:t>                05       12. Oprema za sje</w:t>
      </w:r>
      <w:r>
        <w:t>č</w:t>
      </w:r>
      <w:r>
        <w:t>u drve</w:t>
      </w:r>
      <w:r>
        <w:t>ć</w:t>
      </w:r>
      <w:r>
        <w:t>a</w:t>
      </w:r>
    </w:p>
    <w:p w:rsidR="00000000" w:rsidRDefault="007D6A7A">
      <w:pPr>
        <w:pStyle w:val="TABELATE"/>
      </w:pPr>
      <w:r>
        <w:t>                05       13. Platforme u moru</w:t>
      </w:r>
    </w:p>
    <w:p w:rsidR="00000000" w:rsidRDefault="007D6A7A">
      <w:pPr>
        <w:pStyle w:val="TABELATE"/>
      </w:pPr>
      <w:r>
        <w:t>                05       14. Platno (tepisi, zastori, zavjese, itisoni</w:t>
      </w:r>
    </w:p>
    <w:p w:rsidR="00000000" w:rsidRDefault="007D6A7A">
      <w:pPr>
        <w:pStyle w:val="TABELATE"/>
      </w:pPr>
      <w:r>
        <w:t>                             i sl.)</w:t>
      </w:r>
    </w:p>
    <w:p w:rsidR="00000000" w:rsidRDefault="007D6A7A">
      <w:pPr>
        <w:pStyle w:val="TABELATE"/>
      </w:pPr>
      <w:r>
        <w:t>  </w:t>
      </w:r>
      <w:r>
        <w:t>              05       15. Pokretna oprema koja koristi elektri</w:t>
      </w:r>
      <w:r>
        <w:t>č</w:t>
      </w:r>
      <w:r>
        <w:t>nu</w:t>
      </w:r>
    </w:p>
    <w:p w:rsidR="00000000" w:rsidRDefault="007D6A7A">
      <w:pPr>
        <w:pStyle w:val="TABELATE"/>
      </w:pPr>
      <w:r>
        <w:t>                             energiju (bušilica, brusilica i sl.)</w:t>
      </w:r>
    </w:p>
    <w:p w:rsidR="00000000" w:rsidRDefault="007D6A7A">
      <w:pPr>
        <w:pStyle w:val="TABELATE"/>
      </w:pPr>
      <w:r>
        <w:t>                05       16. Pokretni kampovi</w:t>
      </w:r>
    </w:p>
    <w:p w:rsidR="00000000" w:rsidRDefault="007D6A7A">
      <w:pPr>
        <w:pStyle w:val="TABELATE"/>
      </w:pPr>
      <w:r>
        <w:t>                05       17. Skeneri za bar kod</w:t>
      </w:r>
    </w:p>
    <w:p w:rsidR="00000000" w:rsidRDefault="007D6A7A">
      <w:pPr>
        <w:pStyle w:val="TABELATE"/>
      </w:pPr>
      <w:r>
        <w:t>                05       18. </w:t>
      </w:r>
      <w:r>
        <w:t>Traktori</w:t>
      </w:r>
    </w:p>
    <w:p w:rsidR="00000000" w:rsidRDefault="007D6A7A">
      <w:pPr>
        <w:pStyle w:val="TABELATE"/>
      </w:pPr>
      <w:r>
        <w:t>                05       19. Uniforme                                    05</w:t>
      </w:r>
    </w:p>
    <w:p w:rsidR="00000000" w:rsidRDefault="007D6A7A">
      <w:pPr>
        <w:pStyle w:val="TABELATE"/>
      </w:pPr>
      <w:r>
        <w:t>                         20. Video igre-na nov</w:t>
      </w:r>
      <w:r>
        <w:t>č</w:t>
      </w:r>
      <w:r>
        <w:t>i</w:t>
      </w:r>
      <w:r>
        <w:t>ć</w:t>
      </w:r>
    </w:p>
    <w:p w:rsidR="00000000" w:rsidRDefault="007D6A7A">
      <w:pPr>
        <w:pStyle w:val="TABELATE"/>
      </w:pPr>
      <w:r>
        <w:t>                05       21. Video trake, CD,  DVD i sl.                 05</w:t>
      </w:r>
    </w:p>
    <w:p w:rsidR="00000000" w:rsidRDefault="007D6A7A">
      <w:pPr>
        <w:pStyle w:val="TABELATE"/>
      </w:pPr>
      <w:r>
        <w:t>                         22. Osnovno saldo</w:t>
      </w:r>
    </w:p>
    <w:p w:rsidR="00000000" w:rsidRDefault="007D6A7A">
      <w:pPr>
        <w:pStyle w:val="TABELATE"/>
      </w:pPr>
      <w:r>
        <w:t>--</w:t>
      </w:r>
      <w:r>
        <w:t>---------------------------------------------------------------------------------</w:t>
      </w:r>
    </w:p>
    <w:p w:rsidR="00000000" w:rsidRDefault="007D6A7A">
      <w:pPr>
        <w:pStyle w:val="N01X"/>
      </w:pPr>
      <w:r>
        <w:t>METODE UTVR</w:t>
      </w:r>
      <w:r>
        <w:t>Đ</w:t>
      </w:r>
      <w:r>
        <w:t>IVANJA AMORTIZACIJE</w:t>
      </w:r>
    </w:p>
    <w:p w:rsidR="00000000" w:rsidRDefault="007D6A7A">
      <w:pPr>
        <w:pStyle w:val="C30X"/>
      </w:pPr>
      <w:r>
        <w:t>Č</w:t>
      </w:r>
      <w:r>
        <w:t>lan 5</w:t>
      </w:r>
    </w:p>
    <w:p w:rsidR="00000000" w:rsidRDefault="007D6A7A">
      <w:pPr>
        <w:pStyle w:val="T30X"/>
      </w:pPr>
      <w:r>
        <w:t>Amortizacija za osnovna sredstva razvrstana u prvu grupu amortizacije obra</w:t>
      </w:r>
      <w:r>
        <w:t>č</w:t>
      </w:r>
      <w:r>
        <w:t>unava se primjenom proporcionalne metode za svako sredstvo p</w:t>
      </w:r>
      <w:r>
        <w:t>osebno.</w:t>
      </w:r>
    </w:p>
    <w:p w:rsidR="00000000" w:rsidRDefault="007D6A7A">
      <w:pPr>
        <w:pStyle w:val="T30X"/>
      </w:pPr>
      <w:r>
        <w:t xml:space="preserve">Iznos godišnjeg umanjenja vrijednosti osnovnih sredstava po osnovu amortizacije iz stava 1 ovog </w:t>
      </w:r>
      <w:r>
        <w:t>č</w:t>
      </w:r>
      <w:r>
        <w:t>lana, jednak je jednoj dvadesetini (1/20, odnosno 5%) nabavne cijene osnovnog sredstva uve</w:t>
      </w:r>
      <w:r>
        <w:t>ć</w:t>
      </w:r>
      <w:r>
        <w:t>ane za vrijednost ulaganja koja prelaze 5% nabavne cijene.</w:t>
      </w:r>
    </w:p>
    <w:p w:rsidR="00000000" w:rsidRDefault="007D6A7A">
      <w:pPr>
        <w:pStyle w:val="C30X"/>
      </w:pPr>
      <w:r>
        <w:t>Č</w:t>
      </w:r>
      <w:r>
        <w:t>lan 6</w:t>
      </w:r>
    </w:p>
    <w:p w:rsidR="00000000" w:rsidRDefault="007D6A7A">
      <w:pPr>
        <w:pStyle w:val="T30X"/>
      </w:pPr>
      <w:r>
        <w:t>Amortizacija za osnovna sredstva razvrstana u grupe amortizacije od II do V obra</w:t>
      </w:r>
      <w:r>
        <w:t>č</w:t>
      </w:r>
      <w:r>
        <w:t>unava se primjenom degresivne metode na ukupnu vrijednost sredstava razvrstanih po pojedinoj grupi.</w:t>
      </w:r>
    </w:p>
    <w:p w:rsidR="00000000" w:rsidRDefault="007D6A7A">
      <w:pPr>
        <w:pStyle w:val="T30X"/>
      </w:pPr>
      <w:r>
        <w:t xml:space="preserve">Amortizacija iz stava 1 ovog </w:t>
      </w:r>
      <w:r>
        <w:t>č</w:t>
      </w:r>
      <w:r>
        <w:t>lana obra</w:t>
      </w:r>
      <w:r>
        <w:t>č</w:t>
      </w:r>
      <w:r>
        <w:t xml:space="preserve">unava se na iznos neotpisane </w:t>
      </w:r>
      <w:r>
        <w:t>vrijednosti osnovnih sredstava grupe (u daljem tekstu: saldo grupe) utvr</w:t>
      </w:r>
      <w:r>
        <w:t>đ</w:t>
      </w:r>
      <w:r>
        <w:t>ene na kraju prethodne godine, uve</w:t>
      </w:r>
      <w:r>
        <w:t>ć</w:t>
      </w:r>
      <w:r>
        <w:t>ane za vrijednost kupljenih i umanjene za vrijednost prodatih osnovnih sredstava iz te grupe tokom godine, pomnožene amortizacionom stopom te grupe.</w:t>
      </w:r>
    </w:p>
    <w:p w:rsidR="00000000" w:rsidRDefault="007D6A7A">
      <w:pPr>
        <w:pStyle w:val="T30X"/>
      </w:pPr>
      <w:r>
        <w:t>Umanjenje na ime amortizacije na kraju godine oduzima se od salda grupe i neotpisana vrijednost predstavlja po</w:t>
      </w:r>
      <w:r>
        <w:t>č</w:t>
      </w:r>
      <w:r>
        <w:t>etni saldo grupe u narednoj godini.</w:t>
      </w:r>
    </w:p>
    <w:p w:rsidR="00000000" w:rsidRDefault="007D6A7A">
      <w:pPr>
        <w:pStyle w:val="C30X"/>
      </w:pPr>
      <w:r>
        <w:t>Č</w:t>
      </w:r>
      <w:r>
        <w:t>lan 7</w:t>
      </w:r>
    </w:p>
    <w:p w:rsidR="00000000" w:rsidRDefault="007D6A7A">
      <w:pPr>
        <w:pStyle w:val="T30X"/>
      </w:pPr>
      <w:r>
        <w:t xml:space="preserve">Ako vrijednost po osnovu prodaje svih osnovnih sredstava u toku poreske godine za grupe amortizacije </w:t>
      </w:r>
      <w:r>
        <w:t>od II do V prelazi saldo grupe, iznos koji prelazi tu vrijednost uklju</w:t>
      </w:r>
      <w:r>
        <w:t>č</w:t>
      </w:r>
      <w:r>
        <w:t>uje se u oporezivi prihod i saldo grupe na kraju godine jednak je nuli.</w:t>
      </w:r>
    </w:p>
    <w:p w:rsidR="00000000" w:rsidRDefault="007D6A7A">
      <w:pPr>
        <w:pStyle w:val="C30X"/>
      </w:pPr>
      <w:r>
        <w:t>Č</w:t>
      </w:r>
      <w:r>
        <w:t>lan 8</w:t>
      </w:r>
    </w:p>
    <w:p w:rsidR="00000000" w:rsidRDefault="007D6A7A">
      <w:pPr>
        <w:pStyle w:val="T30X"/>
      </w:pPr>
      <w:r>
        <w:t>Ako je vrijednost po osnovu prodaje svih osnovnih sredstava iz grupe amortizacije od II do V u toku poresk</w:t>
      </w:r>
      <w:r>
        <w:t>e godine manja od salda grupe na kraju godine, ostatak salda grupe umanjuje se na teret rashoda.</w:t>
      </w:r>
    </w:p>
    <w:p w:rsidR="00000000" w:rsidRDefault="007D6A7A">
      <w:pPr>
        <w:pStyle w:val="C30X"/>
      </w:pPr>
      <w:r>
        <w:t>Č</w:t>
      </w:r>
      <w:r>
        <w:t>lan 9</w:t>
      </w:r>
    </w:p>
    <w:p w:rsidR="00000000" w:rsidRDefault="007D6A7A">
      <w:pPr>
        <w:pStyle w:val="T30X"/>
      </w:pPr>
      <w:r>
        <w:t>Ako je krajnji saldo pojedine grupe amortizacije od II do V manji od 1.000 EUR-a cjelokupan saldo te grupe podliježe umanjenju koje se iskazuje kao rashod i saldo grupe iznosi nula.</w:t>
      </w:r>
    </w:p>
    <w:p w:rsidR="00000000" w:rsidRDefault="007D6A7A">
      <w:pPr>
        <w:pStyle w:val="C30X"/>
      </w:pPr>
      <w:r>
        <w:t>Č</w:t>
      </w:r>
      <w:r>
        <w:t>lan 10</w:t>
      </w:r>
    </w:p>
    <w:p w:rsidR="00000000" w:rsidRDefault="007D6A7A">
      <w:pPr>
        <w:pStyle w:val="T30X"/>
      </w:pPr>
      <w:r>
        <w:lastRenderedPageBreak/>
        <w:t xml:space="preserve">Umanjenje salda grupe po osnovu amortizacije za sredstva iz grupe </w:t>
      </w:r>
      <w:r>
        <w:t>amortizacije od II do V vrši se na osnovu izdataka za popravke osnovnih sredstava iz svake grupe.</w:t>
      </w:r>
    </w:p>
    <w:p w:rsidR="00000000" w:rsidRDefault="007D6A7A">
      <w:pPr>
        <w:pStyle w:val="T30X"/>
      </w:pPr>
      <w:r>
        <w:t>Ako stvarni iznos troškova popravke osnovnih sredstava iznosi do 5% salda pojedine grupe amortizacije od II do V tokom godine, isti padaju na teret rashoda po</w:t>
      </w:r>
      <w:r>
        <w:t>slovanja.</w:t>
      </w:r>
    </w:p>
    <w:p w:rsidR="00000000" w:rsidRDefault="007D6A7A">
      <w:pPr>
        <w:pStyle w:val="T30X"/>
      </w:pPr>
      <w:r>
        <w:t xml:space="preserve">Ako stvarni iznos troškova popravki iz stava 1 ovog </w:t>
      </w:r>
      <w:r>
        <w:t>č</w:t>
      </w:r>
      <w:r>
        <w:t>lana iznosi više od 5% od iznosa salda grupe na kraju godine, pove</w:t>
      </w:r>
      <w:r>
        <w:t>ć</w:t>
      </w:r>
      <w:r>
        <w:t>ava se saldo grupe za iznos ulaganja.</w:t>
      </w:r>
    </w:p>
    <w:p w:rsidR="00000000" w:rsidRDefault="007D6A7A">
      <w:pPr>
        <w:pStyle w:val="C30X"/>
      </w:pPr>
      <w:r>
        <w:t>Č</w:t>
      </w:r>
      <w:r>
        <w:t>lan 11</w:t>
      </w:r>
    </w:p>
    <w:p w:rsidR="00000000" w:rsidRDefault="007D6A7A">
      <w:pPr>
        <w:pStyle w:val="T30X"/>
      </w:pPr>
      <w:r>
        <w:t>Amortizacija nematerijalnih sredstava kao što su: koncesije, patenti, autorska p</w:t>
      </w:r>
      <w:r>
        <w:t>rava, franšiza i druga prava vrši se primjenom proporcionalne metode na osnovu vijeka trajanja tih ulaganja.</w:t>
      </w:r>
    </w:p>
    <w:p w:rsidR="00000000" w:rsidRDefault="007D6A7A">
      <w:pPr>
        <w:pStyle w:val="T30X"/>
      </w:pPr>
      <w:r>
        <w:t>Osnovicu za obra</w:t>
      </w:r>
      <w:r>
        <w:t>č</w:t>
      </w:r>
      <w:r>
        <w:t xml:space="preserve">un amortizacije iz stava 1 ovog </w:t>
      </w:r>
      <w:r>
        <w:t>č</w:t>
      </w:r>
      <w:r>
        <w:t xml:space="preserve">lana </w:t>
      </w:r>
      <w:r>
        <w:t>č</w:t>
      </w:r>
      <w:r>
        <w:t>ine ulaganja za razvoj i nabavku te imovine.</w:t>
      </w:r>
    </w:p>
    <w:p w:rsidR="00000000" w:rsidRDefault="007D6A7A">
      <w:pPr>
        <w:pStyle w:val="C30X"/>
      </w:pPr>
      <w:r>
        <w:t>Č</w:t>
      </w:r>
      <w:r>
        <w:t>lan 12</w:t>
      </w:r>
    </w:p>
    <w:p w:rsidR="00000000" w:rsidRDefault="007D6A7A">
      <w:pPr>
        <w:pStyle w:val="T30X"/>
      </w:pPr>
      <w:r>
        <w:t>Osnovica za obra</w:t>
      </w:r>
      <w:r>
        <w:t>č</w:t>
      </w:r>
      <w:r>
        <w:t>un amortizacije kod e</w:t>
      </w:r>
      <w:r>
        <w:t xml:space="preserve">ksploatacije prirodnih bogatstava </w:t>
      </w:r>
      <w:r>
        <w:t>č</w:t>
      </w:r>
      <w:r>
        <w:t>ini vrijednost svih troškova istraživanja i razvoja, uklju</w:t>
      </w:r>
      <w:r>
        <w:t>č</w:t>
      </w:r>
      <w:r>
        <w:t>uju</w:t>
      </w:r>
      <w:r>
        <w:t>ć</w:t>
      </w:r>
      <w:r>
        <w:t>i kamatu nastalu po osnovu tih ulaganja.</w:t>
      </w:r>
    </w:p>
    <w:p w:rsidR="00000000" w:rsidRDefault="007D6A7A">
      <w:pPr>
        <w:pStyle w:val="T30X"/>
      </w:pPr>
      <w:r>
        <w:t>Amortizacija prirodnih bogatstava za teku</w:t>
      </w:r>
      <w:r>
        <w:t>ć</w:t>
      </w:r>
      <w:r>
        <w:t>u godinu utvr</w:t>
      </w:r>
      <w:r>
        <w:t>đ</w:t>
      </w:r>
      <w:r>
        <w:t>uje se na na</w:t>
      </w:r>
      <w:r>
        <w:t>č</w:t>
      </w:r>
      <w:r>
        <w:t>in što se na nabavnu vrijednost ulaganja iz stav</w:t>
      </w:r>
      <w:r>
        <w:t xml:space="preserve">a 1 ovog </w:t>
      </w:r>
      <w:r>
        <w:t>č</w:t>
      </w:r>
      <w:r>
        <w:t>lana primjenjuje procenat koji se dobija iz odnosa proizvodnje prirodnog bogatstva u poreskoj godini i ukupnih procijenjenih potencijala tog nalazišta.</w:t>
      </w:r>
    </w:p>
    <w:p w:rsidR="00000000" w:rsidRDefault="007D6A7A">
      <w:pPr>
        <w:pStyle w:val="N01X"/>
      </w:pPr>
      <w:r>
        <w:t>ZAVRŠNA ODREDBA</w:t>
      </w:r>
    </w:p>
    <w:p w:rsidR="00000000" w:rsidRDefault="007D6A7A">
      <w:pPr>
        <w:pStyle w:val="C30X"/>
      </w:pPr>
      <w:r>
        <w:t>Č</w:t>
      </w:r>
      <w:r>
        <w:t>lan 13</w:t>
      </w:r>
    </w:p>
    <w:p w:rsidR="00000000" w:rsidRDefault="007D6A7A">
      <w:pPr>
        <w:pStyle w:val="T30X"/>
      </w:pPr>
      <w:r>
        <w:t>Ovaj pravilnik stupa na snagu osmog dana od dana objavljivanja u "Služ</w:t>
      </w:r>
      <w:r>
        <w:t>benom listu RCG".</w:t>
      </w:r>
    </w:p>
    <w:p w:rsidR="00000000" w:rsidRDefault="007D6A7A">
      <w:pPr>
        <w:pStyle w:val="N01Z"/>
      </w:pPr>
      <w:r>
        <w:t>Broj: 04-534/1</w:t>
      </w:r>
    </w:p>
    <w:p w:rsidR="00000000" w:rsidRDefault="007D6A7A">
      <w:pPr>
        <w:pStyle w:val="N01Z"/>
      </w:pPr>
      <w:r>
        <w:t>Podgorica, 6. juna 2002. godine</w:t>
      </w:r>
    </w:p>
    <w:p w:rsidR="00000000" w:rsidRDefault="007D6A7A">
      <w:pPr>
        <w:pStyle w:val="N01Z"/>
      </w:pPr>
      <w:r>
        <w:t>Ministar,</w:t>
      </w:r>
    </w:p>
    <w:p w:rsidR="00000000" w:rsidRDefault="007D6A7A">
      <w:pPr>
        <w:pStyle w:val="N01Z"/>
      </w:pPr>
      <w:r>
        <w:t>Miroslav Ivaniševi</w:t>
      </w:r>
      <w:r>
        <w:t>ć</w:t>
      </w:r>
      <w:r>
        <w:t>, s.r.</w:t>
      </w:r>
    </w:p>
    <w:p w:rsidR="00000000" w:rsidRDefault="007D6A7A">
      <w:pPr>
        <w:pStyle w:val="N01X"/>
      </w:pPr>
      <w:r>
        <w:t>Obrazac OA</w:t>
      </w:r>
    </w:p>
    <w:p w:rsidR="007D6A7A" w:rsidRDefault="00193BE8">
      <w:pPr>
        <w:pStyle w:val="DefaultParagraphFont0"/>
        <w:widowControl w:val="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5838825" cy="10810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081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6A7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0" w:right="850" w:bottom="850" w:left="850" w:header="567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A7A" w:rsidRDefault="007D6A7A">
      <w:r>
        <w:separator/>
      </w:r>
    </w:p>
  </w:endnote>
  <w:endnote w:type="continuationSeparator" w:id="0">
    <w:p w:rsidR="007D6A7A" w:rsidRDefault="007D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top w:w="40" w:type="dxa"/>
        <w:left w:w="0" w:type="dxa"/>
        <w:bottom w:w="4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5103"/>
    </w:tblGrid>
    <w:tr w:rsidR="00000000">
      <w:tblPrEx>
        <w:tblCellMar>
          <w:left w:w="0" w:type="dxa"/>
          <w:right w:w="0" w:type="dxa"/>
        </w:tblCellMar>
      </w:tblPrEx>
      <w:trPr>
        <w:cantSplit/>
        <w:trHeight w:val="240"/>
      </w:trPr>
      <w:tc>
        <w:tcPr>
          <w:tcW w:w="5102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000000" w:rsidRDefault="007D6A7A">
          <w:pPr>
            <w:pStyle w:val="Fotter"/>
          </w:pPr>
          <w:hyperlink w:anchor="http___www_katalogpropisa_me" w:history="1">
            <w:r>
              <w:rPr>
                <w:rStyle w:val="Hyperlink"/>
              </w:rPr>
              <w:t>Nespa computers doo, Podgorica</w:t>
            </w:r>
          </w:hyperlink>
        </w:p>
      </w:tc>
      <w:tc>
        <w:tcPr>
          <w:tcW w:w="5103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000000" w:rsidRDefault="007D6A7A">
          <w:pPr>
            <w:pStyle w:val="Fotter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&lt; Please update this field. &gt;</w:t>
          </w:r>
          <w: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top w:w="40" w:type="dxa"/>
        <w:left w:w="0" w:type="dxa"/>
        <w:bottom w:w="4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5103"/>
    </w:tblGrid>
    <w:tr w:rsidR="00000000">
      <w:tblPrEx>
        <w:tblCellMar>
          <w:left w:w="0" w:type="dxa"/>
          <w:right w:w="0" w:type="dxa"/>
        </w:tblCellMar>
      </w:tblPrEx>
      <w:trPr>
        <w:cantSplit/>
        <w:trHeight w:val="240"/>
      </w:trPr>
      <w:tc>
        <w:tcPr>
          <w:tcW w:w="5102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000000" w:rsidRDefault="007D6A7A">
          <w:pPr>
            <w:pStyle w:val="Fotter"/>
          </w:pPr>
          <w:hyperlink w:anchor="http___www_katalogpropisa_me" w:history="1">
            <w:r>
              <w:rPr>
                <w:rStyle w:val="Hyperlink"/>
              </w:rPr>
              <w:t>Nespa computers doo, Podgorica</w:t>
            </w:r>
          </w:hyperlink>
        </w:p>
      </w:tc>
      <w:tc>
        <w:tcPr>
          <w:tcW w:w="5103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000000" w:rsidRDefault="007D6A7A">
          <w:pPr>
            <w:pStyle w:val="Fotter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&lt; Please update this field. &gt;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A7A" w:rsidRDefault="007D6A7A">
      <w:r>
        <w:separator/>
      </w:r>
    </w:p>
  </w:footnote>
  <w:footnote w:type="continuationSeparator" w:id="0">
    <w:p w:rsidR="007D6A7A" w:rsidRDefault="007D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D6A7A">
    <w:pPr>
      <w:pStyle w:val="Header"/>
    </w:pPr>
    <w:r>
      <w:t>Katalog propisa 2017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D6A7A">
    <w:pPr>
      <w:pStyle w:val="Header"/>
    </w:pPr>
    <w:r>
      <w:t>Katalog propisa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BE8"/>
    <w:rsid w:val="00193BE8"/>
    <w:rsid w:val="007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242E8D-931C-4D77-B814-B89ECFAE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ParagraphFont"/>
  </w:style>
  <w:style w:type="paragraph" w:customStyle="1" w:styleId="Heading1">
    <w:name w:val="Heading1"/>
    <w:basedOn w:val="Normal"/>
    <w:uiPriority w:val="99"/>
    <w:pPr>
      <w:outlineLvl w:val="0"/>
    </w:pPr>
  </w:style>
  <w:style w:type="paragraph" w:customStyle="1" w:styleId="Heading2">
    <w:name w:val="Heading2"/>
    <w:basedOn w:val="Heading1"/>
    <w:uiPriority w:val="99"/>
    <w:pPr>
      <w:outlineLvl w:val="1"/>
    </w:pPr>
  </w:style>
  <w:style w:type="paragraph" w:customStyle="1" w:styleId="Heading3">
    <w:name w:val="Heading3"/>
    <w:basedOn w:val="Heading2"/>
    <w:uiPriority w:val="99"/>
    <w:pPr>
      <w:outlineLvl w:val="2"/>
    </w:pPr>
  </w:style>
  <w:style w:type="paragraph" w:customStyle="1" w:styleId="Heading4">
    <w:name w:val="Heading4"/>
    <w:basedOn w:val="Heading3"/>
    <w:uiPriority w:val="99"/>
    <w:pPr>
      <w:outlineLvl w:val="3"/>
    </w:pPr>
  </w:style>
  <w:style w:type="paragraph" w:customStyle="1" w:styleId="Heading5">
    <w:name w:val="Heading5"/>
    <w:basedOn w:val="Heading4"/>
    <w:uiPriority w:val="99"/>
    <w:pPr>
      <w:outlineLvl w:val="4"/>
    </w:pPr>
  </w:style>
  <w:style w:type="paragraph" w:customStyle="1" w:styleId="Heading6">
    <w:name w:val="Heading6"/>
    <w:basedOn w:val="Heading5"/>
    <w:uiPriority w:val="99"/>
    <w:pPr>
      <w:outlineLvl w:val="5"/>
    </w:pPr>
  </w:style>
  <w:style w:type="paragraph" w:customStyle="1" w:styleId="Heading7">
    <w:name w:val="Heading7"/>
    <w:basedOn w:val="Heading6"/>
    <w:uiPriority w:val="99"/>
    <w:pPr>
      <w:outlineLvl w:val="6"/>
    </w:pPr>
  </w:style>
  <w:style w:type="paragraph" w:customStyle="1" w:styleId="Heading8">
    <w:name w:val="Heading8"/>
    <w:basedOn w:val="Heading7"/>
    <w:uiPriority w:val="99"/>
    <w:pPr>
      <w:outlineLvl w:val="7"/>
    </w:pPr>
  </w:style>
  <w:style w:type="paragraph" w:customStyle="1" w:styleId="Heading9">
    <w:name w:val="Heading9"/>
    <w:basedOn w:val="Heading8"/>
    <w:uiPriority w:val="99"/>
    <w:pPr>
      <w:outlineLvl w:val="8"/>
    </w:pPr>
  </w:style>
  <w:style w:type="paragraph" w:styleId="List">
    <w:name w:val="List"/>
    <w:basedOn w:val="Normal"/>
    <w:uiPriority w:val="99"/>
  </w:style>
  <w:style w:type="paragraph" w:customStyle="1" w:styleId="Footnote">
    <w:name w:val="Footnote"/>
    <w:basedOn w:val="Normal"/>
    <w:uiPriority w:val="99"/>
  </w:style>
  <w:style w:type="paragraph" w:styleId="Header">
    <w:name w:val="header"/>
    <w:basedOn w:val="Normal"/>
    <w:link w:val="HeaderChar"/>
    <w:uiPriority w:val="99"/>
    <w:pPr>
      <w:pBdr>
        <w:bottom w:val="dotted" w:sz="4" w:space="0" w:color="4682B4"/>
      </w:pBdr>
      <w:tabs>
        <w:tab w:val="right" w:pos="9071"/>
      </w:tabs>
      <w:jc w:val="right"/>
    </w:pPr>
    <w:rPr>
      <w:rFonts w:ascii="Verdana" w:hAnsi="Verdana" w:cs="Verdana"/>
      <w:b/>
      <w:bCs/>
      <w:color w:val="4682B4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pPr>
      <w:pBdr>
        <w:top w:val="dotted" w:sz="4" w:space="0" w:color="4682B4"/>
      </w:pBdr>
      <w:tabs>
        <w:tab w:val="center" w:pos="5669"/>
      </w:tabs>
      <w:jc w:val="center"/>
    </w:pPr>
    <w:rPr>
      <w:rFonts w:ascii="Verdana" w:hAnsi="Verdana" w:cs="Verdana"/>
      <w:b/>
      <w:bCs/>
      <w:color w:val="4682B4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color w:val="000000"/>
      <w:sz w:val="20"/>
      <w:szCs w:val="20"/>
    </w:rPr>
  </w:style>
  <w:style w:type="character" w:styleId="Hyperlink">
    <w:name w:val="Hyperlink"/>
    <w:basedOn w:val="DefaultParagraphFont0"/>
    <w:uiPriority w:val="99"/>
  </w:style>
  <w:style w:type="paragraph" w:customStyle="1" w:styleId="InvalidStyleName">
    <w:name w:val="InvalidStyleName"/>
    <w:basedOn w:val="Normal"/>
    <w:uiPriority w:val="99"/>
    <w:rPr>
      <w:b/>
      <w:bCs/>
      <w:color w:val="00FF00"/>
      <w:u w:val="dash"/>
    </w:rPr>
  </w:style>
  <w:style w:type="paragraph" w:customStyle="1" w:styleId="N03Y">
    <w:name w:val="N03Y"/>
    <w:basedOn w:val="Normal"/>
    <w:uiPriority w:val="99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N01X">
    <w:name w:val="N01X"/>
    <w:basedOn w:val="Normal"/>
    <w:uiPriority w:val="99"/>
    <w:pPr>
      <w:spacing w:before="200" w:after="200"/>
      <w:jc w:val="center"/>
    </w:pPr>
    <w:rPr>
      <w:b/>
      <w:bCs/>
      <w:sz w:val="24"/>
      <w:szCs w:val="24"/>
    </w:rPr>
  </w:style>
  <w:style w:type="paragraph" w:customStyle="1" w:styleId="C30X">
    <w:name w:val="C30X"/>
    <w:basedOn w:val="Normal"/>
    <w:uiPriority w:val="99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C31X">
    <w:name w:val="C31X"/>
    <w:basedOn w:val="Normal"/>
    <w:uiPriority w:val="99"/>
    <w:pPr>
      <w:spacing w:before="60" w:after="60"/>
      <w:jc w:val="center"/>
    </w:pPr>
    <w:rPr>
      <w:b/>
      <w:bCs/>
      <w:sz w:val="22"/>
      <w:szCs w:val="22"/>
    </w:rPr>
  </w:style>
  <w:style w:type="paragraph" w:customStyle="1" w:styleId="Fotter">
    <w:name w:val="Fotter"/>
    <w:basedOn w:val="Normal"/>
    <w:uiPriority w:val="99"/>
    <w:rPr>
      <w:rFonts w:ascii="Verdana" w:hAnsi="Verdana" w:cs="Verdana"/>
      <w:b/>
      <w:bCs/>
      <w:color w:val="4682B4"/>
      <w:sz w:val="18"/>
      <w:szCs w:val="18"/>
    </w:rPr>
  </w:style>
  <w:style w:type="paragraph" w:customStyle="1" w:styleId="ODRX">
    <w:name w:val="ODRX"/>
    <w:basedOn w:val="Normal"/>
    <w:uiPriority w:val="99"/>
    <w:pPr>
      <w:pBdr>
        <w:top w:val="single" w:sz="8" w:space="2" w:color="000000"/>
        <w:left w:val="single" w:sz="8" w:space="2" w:color="000000"/>
        <w:bottom w:val="single" w:sz="8" w:space="2" w:color="000000"/>
        <w:right w:val="single" w:sz="8" w:space="2" w:color="000000"/>
      </w:pBdr>
      <w:shd w:val="clear" w:color="auto" w:fill="D3D3D3"/>
      <w:spacing w:before="200" w:after="200"/>
      <w:jc w:val="center"/>
    </w:pPr>
    <w:rPr>
      <w:b/>
      <w:bCs/>
      <w:sz w:val="24"/>
      <w:szCs w:val="24"/>
    </w:rPr>
  </w:style>
  <w:style w:type="paragraph" w:customStyle="1" w:styleId="NVPX">
    <w:name w:val="NVPX"/>
    <w:basedOn w:val="Normal"/>
    <w:uiPriority w:val="99"/>
    <w:pPr>
      <w:pBdr>
        <w:top w:val="single" w:sz="8" w:space="2" w:color="000000"/>
        <w:left w:val="single" w:sz="8" w:space="2" w:color="000000"/>
        <w:bottom w:val="single" w:sz="8" w:space="2" w:color="000000"/>
        <w:right w:val="single" w:sz="8" w:space="2" w:color="000000"/>
      </w:pBdr>
      <w:shd w:val="clear" w:color="auto" w:fill="000000"/>
      <w:spacing w:before="200" w:after="200"/>
      <w:jc w:val="center"/>
    </w:pPr>
    <w:rPr>
      <w:b/>
      <w:bCs/>
      <w:color w:val="FFFFFF"/>
      <w:sz w:val="24"/>
      <w:szCs w:val="24"/>
    </w:rPr>
  </w:style>
  <w:style w:type="paragraph" w:customStyle="1" w:styleId="TextBox">
    <w:name w:val="TextBox"/>
    <w:basedOn w:val="Normal"/>
    <w:uiPriority w:val="99"/>
    <w:pPr>
      <w:pBdr>
        <w:top w:val="single" w:sz="20" w:space="3" w:color="000000"/>
        <w:left w:val="single" w:sz="20" w:space="3" w:color="000000"/>
        <w:bottom w:val="single" w:sz="20" w:space="3" w:color="000000"/>
        <w:right w:val="single" w:sz="20" w:space="3" w:color="000000"/>
      </w:pBdr>
      <w:shd w:val="clear" w:color="auto" w:fill="87CEEB"/>
      <w:jc w:val="both"/>
    </w:pPr>
  </w:style>
  <w:style w:type="paragraph" w:customStyle="1" w:styleId="TOC">
    <w:name w:val="TOC"/>
    <w:basedOn w:val="Normal"/>
    <w:uiPriority w:val="99"/>
    <w:pPr>
      <w:tabs>
        <w:tab w:val="right" w:leader="dot" w:pos="9071"/>
      </w:tabs>
    </w:pPr>
    <w:rPr>
      <w:color w:val="0000FF"/>
    </w:rPr>
  </w:style>
  <w:style w:type="paragraph" w:customStyle="1" w:styleId="N01Y">
    <w:name w:val="N01Y"/>
    <w:basedOn w:val="Normal"/>
    <w:uiPriority w:val="99"/>
    <w:pPr>
      <w:spacing w:before="60" w:after="60"/>
    </w:pPr>
    <w:rPr>
      <w:b/>
      <w:bCs/>
      <w:sz w:val="22"/>
      <w:szCs w:val="22"/>
    </w:rPr>
  </w:style>
  <w:style w:type="paragraph" w:customStyle="1" w:styleId="N02Y">
    <w:name w:val="N02Y"/>
    <w:basedOn w:val="Normal"/>
    <w:uiPriority w:val="99"/>
    <w:pPr>
      <w:spacing w:before="120" w:after="60"/>
      <w:ind w:firstLine="283"/>
      <w:jc w:val="both"/>
    </w:pPr>
    <w:rPr>
      <w:sz w:val="22"/>
      <w:szCs w:val="22"/>
    </w:rPr>
  </w:style>
  <w:style w:type="paragraph" w:customStyle="1" w:styleId="N05Y">
    <w:name w:val="N05Y"/>
    <w:basedOn w:val="Normal"/>
    <w:uiPriority w:val="99"/>
    <w:pPr>
      <w:spacing w:before="60" w:after="200"/>
      <w:jc w:val="center"/>
    </w:pPr>
    <w:rPr>
      <w:b/>
      <w:bCs/>
      <w:sz w:val="24"/>
      <w:szCs w:val="24"/>
    </w:rPr>
  </w:style>
  <w:style w:type="paragraph" w:customStyle="1" w:styleId="N01Z">
    <w:name w:val="N01Z"/>
    <w:basedOn w:val="Normal"/>
    <w:uiPriority w:val="99"/>
    <w:pPr>
      <w:spacing w:before="60" w:after="60"/>
      <w:jc w:val="center"/>
    </w:pPr>
    <w:rPr>
      <w:b/>
      <w:bCs/>
    </w:rPr>
  </w:style>
  <w:style w:type="paragraph" w:customStyle="1" w:styleId="T30X">
    <w:name w:val="T30X"/>
    <w:basedOn w:val="Normal"/>
    <w:uiPriority w:val="99"/>
    <w:pPr>
      <w:spacing w:before="60" w:after="60"/>
      <w:ind w:firstLine="283"/>
      <w:jc w:val="both"/>
    </w:pPr>
    <w:rPr>
      <w:sz w:val="22"/>
      <w:szCs w:val="22"/>
    </w:rPr>
  </w:style>
  <w:style w:type="paragraph" w:customStyle="1" w:styleId="TABELATE">
    <w:name w:val="TABELA_TE"/>
    <w:basedOn w:val="Normal"/>
    <w:uiPriority w:val="99"/>
    <w:pPr>
      <w:spacing w:before="60" w:after="60"/>
    </w:pPr>
    <w:rPr>
      <w:rFonts w:ascii="Courier New" w:hAnsi="Courier New" w:cs="Courier New"/>
      <w:sz w:val="16"/>
      <w:szCs w:val="16"/>
    </w:rPr>
  </w:style>
  <w:style w:type="paragraph" w:customStyle="1" w:styleId="T60X">
    <w:name w:val="T60X"/>
    <w:basedOn w:val="Normal"/>
    <w:uiPriority w:val="99"/>
    <w:pPr>
      <w:spacing w:before="60" w:after="60"/>
      <w:jc w:val="center"/>
    </w:pPr>
    <w:rPr>
      <w:i/>
      <w:iCs/>
      <w:sz w:val="22"/>
      <w:szCs w:val="22"/>
    </w:rPr>
  </w:style>
  <w:style w:type="paragraph" w:customStyle="1" w:styleId="FSNT">
    <w:name w:val="FSNT"/>
    <w:basedOn w:val="Normal"/>
    <w:uiPriority w:val="99"/>
    <w:pPr>
      <w:spacing w:before="200" w:after="120"/>
      <w:ind w:left="850" w:hanging="170"/>
    </w:pPr>
    <w:rPr>
      <w:sz w:val="18"/>
      <w:szCs w:val="18"/>
    </w:rPr>
  </w:style>
  <w:style w:type="paragraph" w:customStyle="1" w:styleId="HLINE">
    <w:name w:val="HLINE"/>
    <w:basedOn w:val="Normal"/>
    <w:uiPriority w:val="99"/>
    <w:pPr>
      <w:pBdr>
        <w:top w:val="single" w:sz="8" w:space="1" w:color="000000"/>
        <w:left w:val="none" w:sz="0" w:space="1" w:color="auto"/>
        <w:bottom w:val="none" w:sz="0" w:space="1" w:color="auto"/>
        <w:right w:val="none" w:sz="0" w:space="1" w:color="auto"/>
      </w:pBdr>
      <w:spacing w:before="60"/>
      <w:jc w:val="center"/>
    </w:pPr>
  </w:style>
  <w:style w:type="paragraph" w:customStyle="1" w:styleId="SPN">
    <w:name w:val="SPN"/>
    <w:basedOn w:val="Normal"/>
    <w:uiPriority w:val="99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SPS">
    <w:name w:val="SPS"/>
    <w:basedOn w:val="Normal"/>
    <w:uiPriority w:val="99"/>
    <w:pPr>
      <w:spacing w:before="100" w:after="100"/>
    </w:pPr>
    <w:rPr>
      <w:color w:val="000080"/>
      <w:sz w:val="24"/>
      <w:szCs w:val="24"/>
    </w:rPr>
  </w:style>
  <w:style w:type="paragraph" w:customStyle="1" w:styleId="SPP">
    <w:name w:val="SPP"/>
    <w:basedOn w:val="Normal"/>
    <w:uiPriority w:val="99"/>
    <w:pPr>
      <w:spacing w:before="200" w:after="200"/>
      <w:jc w:val="center"/>
    </w:pPr>
    <w:rPr>
      <w:b/>
      <w:bCs/>
      <w:sz w:val="22"/>
      <w:szCs w:val="22"/>
    </w:rPr>
  </w:style>
  <w:style w:type="paragraph" w:customStyle="1" w:styleId="SPOB">
    <w:name w:val="SPOB"/>
    <w:basedOn w:val="Normal"/>
    <w:uiPriority w:val="99"/>
    <w:pPr>
      <w:spacing w:before="60" w:after="60"/>
      <w:jc w:val="center"/>
    </w:pPr>
    <w:rPr>
      <w:b/>
      <w:bCs/>
      <w:i/>
      <w:iCs/>
      <w:sz w:val="22"/>
      <w:szCs w:val="22"/>
    </w:rPr>
  </w:style>
  <w:style w:type="paragraph" w:customStyle="1" w:styleId="SPT">
    <w:name w:val="SPT"/>
    <w:basedOn w:val="Normal"/>
    <w:uiPriority w:val="99"/>
    <w:pPr>
      <w:spacing w:before="140" w:after="140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</vt:lpstr>
    </vt:vector>
  </TitlesOfParts>
  <Company/>
  <LinksUpToDate>false</LinksUpToDate>
  <CharactersWithSpaces>10510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</dc:title>
  <dc:subject></dc:subject>
  <dc:creator></dc:creator>
  <cp:keywords/>
  <dc:description/>
  <cp:lastModifiedBy>HP</cp:lastModifiedBy>
  <cp:revision>2</cp:revision>
  <dcterms:created xsi:type="dcterms:W3CDTF">2018-12-12T09:53:00Z</dcterms:created>
  <dcterms:modified xsi:type="dcterms:W3CDTF">2018-12-12T09:53:00Z</dcterms:modified>
</cp:coreProperties>
</file>